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after="100" w:afterAutospacing="1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Проект</w:t>
      </w:r>
    </w:p>
    <w:p>
      <w:pPr>
        <w:spacing w:after="100" w:afterAutospacing="1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</w:t>
      </w:r>
    </w:p>
    <w:p>
      <w:pPr>
        <w:pStyle w:val="Heading1"/>
        <w:spacing w:before="0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предоставления и распределения субсидий из областного бюджета Новосибирской области бюджетам муниципальных образований Новосибирской области на отдых и оздоровление детей в рамках реализации государственной программы Новосибирской области «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Социальная поддержка в Новосибирской области» (проект) </w:t>
      </w:r>
    </w:p>
    <w:p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Субсидии на организацию детского отдыха (далее – субсидия) бюджетам муниципальных образований Новосибирской области (далее – муниципальное образование) предоставляются в целях </w:t>
      </w:r>
      <w:r>
        <w:rPr>
          <w:rFonts w:ascii="Times New Roman" w:hAnsi="Times New Roman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расхо</w:t>
      </w:r>
      <w:r>
        <w:rPr>
          <w:rFonts w:ascii="Times New Roman" w:hAnsi="Times New Roman" w:cs="Times New Roman"/>
          <w:sz w:val="28"/>
          <w:szCs w:val="28"/>
        </w:rPr>
        <w:t xml:space="preserve">дных обязательств бюджетов муниципальных образований Новосибирской области по финансовому обеспечению мероприятий по проведению оздоровительной кампании.</w:t>
      </w:r>
    </w:p>
    <w:p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Субсидии предоставляются бюджетам муниципальных образований на организацию в каникулярное время оздор</w:t>
      </w:r>
      <w:r>
        <w:rPr>
          <w:rFonts w:ascii="Times New Roman" w:hAnsi="Times New Roman" w:cs="Times New Roman"/>
          <w:sz w:val="28"/>
          <w:szCs w:val="28"/>
        </w:rPr>
        <w:t xml:space="preserve">овления и отдыха детей, находящихся в трудной жизненной ситуации, в организациях отдыха детей и их оздоровления независимо от организационно-правовых форм и форм собственности, в том числе на проведение профильных смен в каникулярное время.</w:t>
      </w:r>
    </w:p>
    <w:p>
      <w:pPr>
        <w:spacing w:after="0" w:line="240" w:lineRule="auto"/>
        <w:jc w:val="both"/>
        <w:rPr>
          <w:bCs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Субсидии являю</w:t>
      </w:r>
      <w:r>
        <w:rPr>
          <w:rFonts w:ascii="Times New Roman" w:hAnsi="Times New Roman" w:cs="Times New Roman"/>
          <w:sz w:val="28"/>
          <w:szCs w:val="28"/>
        </w:rPr>
        <w:t xml:space="preserve">тся источником финансового обеспечения расходов </w:t>
      </w:r>
      <w:r>
        <w:rPr>
          <w:rFonts w:ascii="Times New Roman" w:hAnsi="Times New Roman" w:cs="Times New Roman"/>
          <w:bCs/>
          <w:sz w:val="28"/>
          <w:szCs w:val="28"/>
        </w:rPr>
        <w:t xml:space="preserve">на оплату стоимости:</w:t>
      </w:r>
    </w:p>
    <w:p>
      <w:pPr>
        <w:spacing w:after="0" w:line="240" w:lineRule="auto"/>
        <w:jc w:val="both"/>
      </w:pPr>
      <w:r>
        <w:rPr>
          <w:rFonts w:ascii="Times New Roman" w:hAnsi="Times New Roman" w:cs="Times New Roman"/>
          <w:sz w:val="28"/>
          <w:szCs w:val="28"/>
        </w:rPr>
        <w:tab/>
        <w:t xml:space="preserve">1) путевок для детей, находящихся в трудной жизненной ситуации, в организации отдыха детей и их оздоровления, расположенные на территории Новосибирской области;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питания детей в орган</w:t>
      </w:r>
      <w:r>
        <w:rPr>
          <w:rFonts w:ascii="Times New Roman" w:hAnsi="Times New Roman" w:cs="Times New Roman"/>
          <w:sz w:val="28"/>
          <w:szCs w:val="28"/>
        </w:rPr>
        <w:t xml:space="preserve">изованных органами местного самоуправления  Новосибирской области детских оздоровительных лагерях Новосибирской области с дневным пребыванием детей;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 проезда детей, находящихся в трудной жизненной ситуации, до места </w:t>
      </w:r>
      <w:r>
        <w:rPr>
          <w:rFonts w:ascii="Times New Roman" w:hAnsi="Times New Roman" w:cs="Times New Roman"/>
          <w:sz w:val="28"/>
          <w:szCs w:val="28"/>
        </w:rPr>
        <w:t xml:space="preserve">отдыха детей и их оздоровления</w:t>
      </w:r>
      <w:r>
        <w:rPr>
          <w:rFonts w:ascii="Times New Roman" w:hAnsi="Times New Roman" w:cs="Times New Roman"/>
          <w:sz w:val="28"/>
          <w:szCs w:val="28"/>
        </w:rPr>
        <w:t xml:space="preserve"> и обра</w:t>
      </w:r>
      <w:r>
        <w:rPr>
          <w:rFonts w:ascii="Times New Roman" w:hAnsi="Times New Roman" w:cs="Times New Roman"/>
          <w:sz w:val="28"/>
          <w:szCs w:val="28"/>
        </w:rPr>
        <w:t xml:space="preserve">тно.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Критерием отбора муниципальных образований для получения субсидии на организацию детского отдыха является наличие проживающих на территории муниципального образования, подлежащих оздоровлению, детей, находящихся в трудной жизненной ситуации, в возрас</w:t>
      </w:r>
      <w:r>
        <w:rPr>
          <w:rFonts w:ascii="Times New Roman" w:hAnsi="Times New Roman" w:cs="Times New Roman"/>
          <w:sz w:val="28"/>
          <w:szCs w:val="28"/>
        </w:rPr>
        <w:t xml:space="preserve">те от 7 до 17 лет. </w:t>
      </w:r>
    </w:p>
    <w:p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Информация о количестве </w:t>
      </w:r>
      <w:r>
        <w:rPr>
          <w:rFonts w:ascii="Times New Roman" w:hAnsi="Times New Roman" w:cs="Times New Roman"/>
          <w:bCs/>
          <w:sz w:val="28"/>
          <w:szCs w:val="28"/>
        </w:rPr>
        <w:t xml:space="preserve">планируемых к оздоровлению</w:t>
      </w:r>
      <w:r>
        <w:rPr>
          <w:rFonts w:ascii="Times New Roman" w:hAnsi="Times New Roman" w:cs="Times New Roman"/>
          <w:sz w:val="28"/>
          <w:szCs w:val="28"/>
        </w:rPr>
        <w:t xml:space="preserve"> детей, находящихся в трудной жизненной ситуации, в возрасте от 7 до 17 лет предоставляется администрациями муниципальных образований на следующий год не позднее 1 июля текущего года.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Объем субсидии на организацию детского отдыха, предоставляемой одному муниципальному образованию, определяется по следующей формуле:</w:t>
      </w:r>
    </w:p>
    <w:p>
      <w:pP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V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  <w:vertAlign w:val="subscript"/>
        </w:rPr>
        <w:t xml:space="preserve">i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=</w:t>
      </w:r>
      <w:r>
        <w:rPr>
          <w:rFonts w:ascii="Times New Roman" w:hAnsi="Times New Roman" w:cs="Times New Roman"/>
          <w:bCs/>
          <w:color w:val="000000" w:themeColor="text1"/>
          <w:sz w:val="32"/>
          <w:szCs w:val="32"/>
        </w:rPr>
        <w:t xml:space="preserve"> </w:t>
      </w:r>
      <m:oMath>
        <m:r>
          <m:rPr>
            <m:sty m:val="p"/>
          </m:rPr>
          <w:rPr>
            <w:rFonts w:ascii="Cambria Math" w:hAnsi="Cambria Math" w:eastAsia="Cambria Math" w:cs="Cambria Math"/>
            <w:sz w:val="32"/>
            <w:szCs w:val="32"/>
          </w:rPr>
          <m:t>Si * </m:t>
        </m:r>
        <m:f>
          <m:fPr>
            <m:ctrlPr>
              <w:rPr>
                <w:rFonts w:ascii="Cambria Math" w:hAnsi="Cambria Math" w:eastAsia="Cambria Math" w:cs="Cambria Math"/>
                <w:sz w:val="32"/>
                <w:szCs w:val="32"/>
              </w:rPr>
            </m:ctrlPr>
          </m:fPr>
          <m:den>
            <m:r>
              <m:rPr>
                <m:sty m:val="p"/>
              </m:rPr>
              <w:rPr>
                <w:rFonts w:ascii="Cambria Math" w:hAnsi="Cambria Math" w:eastAsia="Cambria Math" w:cs="Cambria Math"/>
                <w:sz w:val="32"/>
                <w:szCs w:val="32"/>
              </w:rPr>
              <m:t>100</m:t>
            </m:r>
          </m:den>
          <m:num>
            <m:r>
              <m:rPr>
                <m:sty m:val="p"/>
              </m:rPr>
              <w:rPr>
                <w:rFonts w:ascii="Cambria Math" w:hAnsi="Cambria Math" w:eastAsia="Cambria Math" w:cs="Cambria Math"/>
                <w:sz w:val="32"/>
                <w:szCs w:val="32"/>
              </w:rPr>
              <m:t>Yi</m:t>
            </m:r>
          </m:num>
        </m:f>
      </m:oMath>
      <w:r>
        <w:rPr>
          <w:rFonts w:ascii="Times New Roman" w:hAnsi="Times New Roman" w:cs="Times New Roman" w:eastAsiaTheme="minorEastAsia"/>
          <w:b/>
          <w:sz w:val="28"/>
        </w:rPr>
        <w:t xml:space="preserve">, </w:t>
      </w:r>
      <w:r>
        <w:rPr>
          <w:rFonts w:ascii="Times New Roman" w:hAnsi="Times New Roman" w:cs="Times New Roman" w:eastAsiaTheme="minorEastAsia"/>
          <w:sz w:val="28"/>
        </w:rPr>
        <w:t xml:space="preserve">где: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V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- объем субсидии, предоставляемой </w:t>
      </w:r>
      <w:r>
        <w:rPr>
          <w:rFonts w:ascii="Times New Roman" w:hAnsi="Times New Roman" w:cs="Times New Roman"/>
          <w:sz w:val="28"/>
          <w:szCs w:val="28"/>
        </w:rPr>
        <w:t xml:space="preserve">i-му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мероприятия по организации отдыха детей, находящихся в трудной жизненной ситуации, в каникулярное время;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Y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 - предельный уровень </w:t>
      </w:r>
      <w:r>
        <w:rPr>
          <w:rFonts w:ascii="Times New Roman" w:hAnsi="Times New Roman" w:cs="Times New Roman"/>
          <w:sz w:val="28"/>
          <w:szCs w:val="28"/>
        </w:rPr>
        <w:t xml:space="preserve">софинансирования</w:t>
      </w:r>
      <w:r>
        <w:rPr>
          <w:rFonts w:ascii="Times New Roman" w:hAnsi="Times New Roman" w:cs="Times New Roman"/>
          <w:sz w:val="28"/>
          <w:szCs w:val="28"/>
        </w:rPr>
        <w:t xml:space="preserve"> Новосибирской области (в процентах) объемов расходных обязательств муниципальны</w:t>
      </w:r>
      <w:r>
        <w:rPr>
          <w:rFonts w:ascii="Times New Roman" w:hAnsi="Times New Roman" w:cs="Times New Roman"/>
          <w:sz w:val="28"/>
          <w:szCs w:val="28"/>
        </w:rPr>
        <w:t xml:space="preserve">х образований, установленный Правительством Новосибирской области;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 - потребность i-го муниципального образования в средствах на организацию отдыха и оздоровления детей, рассчитываемая по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S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i</w:t>
      </w:r>
      <w:r>
        <w:rPr>
          <w:rFonts w:ascii="Times New Roman" w:hAnsi="Times New Roman" w:cs="Times New Roman"/>
          <w:sz w:val="32"/>
          <w:szCs w:val="32"/>
        </w:rPr>
        <w:t xml:space="preserve">=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лдп</w:t>
      </w:r>
      <w:r>
        <w:rPr>
          <w:rFonts w:ascii="Times New Roman" w:hAnsi="Times New Roman" w:cs="Times New Roman"/>
          <w:sz w:val="32"/>
          <w:szCs w:val="32"/>
        </w:rPr>
        <w:t xml:space="preserve">+С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дол</w:t>
      </w:r>
      <w:r>
        <w:rPr>
          <w:rFonts w:ascii="Times New Roman" w:hAnsi="Times New Roman" w:cs="Times New Roman"/>
          <w:sz w:val="32"/>
          <w:szCs w:val="32"/>
        </w:rPr>
        <w:t xml:space="preserve">+С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проезд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лдп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расходов н</w:t>
      </w:r>
      <w:r>
        <w:rPr>
          <w:rFonts w:ascii="Times New Roman" w:hAnsi="Times New Roman" w:cs="Times New Roman"/>
          <w:sz w:val="28"/>
          <w:szCs w:val="28"/>
        </w:rPr>
        <w:t xml:space="preserve">а оплату питания детей в организованных органами местного самоуправления детских оздоровительных лагерях Новосибирской области с дневным пребыванием детей, рассчитывая по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лдп</w:t>
      </w:r>
      <w:r>
        <w:rPr>
          <w:rFonts w:ascii="Times New Roman" w:hAnsi="Times New Roman" w:cs="Times New Roman"/>
          <w:sz w:val="28"/>
          <w:szCs w:val="28"/>
        </w:rPr>
        <w:t xml:space="preserve">=К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*Р1*18, где:</w:t>
      </w:r>
    </w:p>
    <w:p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планируемых к оздоровлению детей, находя</w:t>
      </w:r>
      <w:r>
        <w:rPr>
          <w:rFonts w:ascii="Times New Roman" w:hAnsi="Times New Roman" w:cs="Times New Roman"/>
          <w:sz w:val="28"/>
          <w:szCs w:val="28"/>
        </w:rPr>
        <w:t xml:space="preserve">щихся в трудной жизненной ситуации, в возрасте от 7 до 17 лет, проживающих в </w:t>
      </w:r>
      <w:r>
        <w:rPr>
          <w:rFonts w:ascii="Times New Roman" w:hAnsi="Times New Roman" w:cs="Times New Roman"/>
          <w:sz w:val="28"/>
          <w:szCs w:val="28"/>
        </w:rPr>
        <w:t xml:space="preserve">i-ом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образовании, в организованных органами местного самоуправления детских оздоровительных лагерях Новосибирской области с дневным пребыванием детей;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двухразового питания детей в организованных органами местного самоуправления детских оздоровительных лагерях Новосибирской области с дневным пребыванием детей, установленная нормативным правовым актом i-го муниципального образования;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 – прод</w:t>
      </w:r>
      <w:r>
        <w:rPr>
          <w:rFonts w:ascii="Times New Roman" w:hAnsi="Times New Roman" w:cs="Times New Roman"/>
          <w:sz w:val="28"/>
          <w:szCs w:val="28"/>
        </w:rPr>
        <w:t xml:space="preserve">олжительность смены, дни;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общая сумма расходов на оплату путевок для детей, находящихся в трудной жизненной ситуации, в организации отдыха детей и их оздоровления, расположенные на территории Новосибирской области, рассчитываемая </w:t>
      </w:r>
      <w:r>
        <w:rPr>
          <w:rFonts w:ascii="Times New Roman" w:hAnsi="Times New Roman" w:cs="Times New Roman"/>
          <w:sz w:val="28"/>
          <w:szCs w:val="28"/>
        </w:rPr>
        <w:t xml:space="preserve">по</w:t>
      </w:r>
      <w:r>
        <w:rPr>
          <w:rFonts w:ascii="Times New Roman" w:hAnsi="Times New Roman" w:cs="Times New Roman"/>
          <w:sz w:val="28"/>
          <w:szCs w:val="28"/>
        </w:rPr>
        <w:t xml:space="preserve">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дол</w:t>
      </w:r>
      <w:r>
        <w:rPr>
          <w:rFonts w:ascii="Times New Roman" w:hAnsi="Times New Roman" w:cs="Times New Roman"/>
          <w:sz w:val="32"/>
          <w:szCs w:val="32"/>
        </w:rPr>
        <w:t xml:space="preserve"> = </w:t>
      </w:r>
      <w:r>
        <w:rPr>
          <w:rFonts w:ascii="Times New Roman" w:hAnsi="Times New Roman" w:cs="Times New Roman"/>
          <w:sz w:val="32"/>
          <w:szCs w:val="32"/>
        </w:rPr>
        <w:t xml:space="preserve">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долсз</w:t>
      </w:r>
      <w:r>
        <w:rPr>
          <w:rFonts w:ascii="Times New Roman" w:hAnsi="Times New Roman" w:cs="Times New Roman"/>
          <w:sz w:val="32"/>
          <w:szCs w:val="32"/>
        </w:rPr>
        <w:t xml:space="preserve">+С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долкд</w:t>
      </w:r>
      <w:r>
        <w:rPr>
          <w:rFonts w:ascii="Times New Roman" w:hAnsi="Times New Roman" w:cs="Times New Roman"/>
          <w:sz w:val="32"/>
          <w:szCs w:val="32"/>
        </w:rPr>
        <w:t xml:space="preserve">+С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долк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д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(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с)</w:t>
      </w:r>
      <w:r>
        <w:rPr>
          <w:rFonts w:ascii="Times New Roman" w:hAnsi="Times New Roman" w:cs="Times New Roman"/>
          <w:sz w:val="32"/>
          <w:szCs w:val="32"/>
        </w:rPr>
        <w:t xml:space="preserve">+</w:t>
      </w:r>
      <w:r>
        <w:rPr>
          <w:rFonts w:ascii="Times New Roman" w:hAnsi="Times New Roman" w:cs="Times New Roman"/>
          <w:sz w:val="32"/>
          <w:szCs w:val="32"/>
        </w:rPr>
        <w:t xml:space="preserve">С</w:t>
      </w:r>
      <w:r>
        <w:rPr>
          <w:rFonts w:ascii="Times New Roman" w:hAnsi="Times New Roman" w:cs="Times New Roman"/>
          <w:sz w:val="32"/>
          <w:szCs w:val="32"/>
          <w:vertAlign w:val="subscript"/>
        </w:rPr>
        <w:t xml:space="preserve">пл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долсз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расходов на оплату путевок для детей, находящихся в трудной жизненной ситуации, в организации отдыха детей и их оздоровления сезонного действия, расположенные на территории Новосибирской области, рассчитываемая по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долсз</w:t>
      </w:r>
      <w:r>
        <w:rPr>
          <w:rFonts w:ascii="Times New Roman" w:hAnsi="Times New Roman" w:cs="Times New Roman"/>
          <w:sz w:val="28"/>
          <w:szCs w:val="28"/>
        </w:rPr>
        <w:t xml:space="preserve">=К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*Р2*21, г</w:t>
      </w:r>
      <w:r>
        <w:rPr>
          <w:rFonts w:ascii="Times New Roman" w:hAnsi="Times New Roman" w:cs="Times New Roman"/>
          <w:sz w:val="28"/>
          <w:szCs w:val="28"/>
        </w:rPr>
        <w:t xml:space="preserve">де: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детей, находящихся в трудной жизненной ситуации, в возрасте от 7 до 17 лет, проживающих в </w:t>
      </w:r>
      <w:r>
        <w:rPr>
          <w:rFonts w:ascii="Times New Roman" w:hAnsi="Times New Roman" w:cs="Times New Roman"/>
          <w:sz w:val="28"/>
          <w:szCs w:val="28"/>
        </w:rPr>
        <w:t xml:space="preserve">i-ом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образовании, планируемых к направлению по путевкам в организацию отдыха детей и их оздоровления сезонного действия;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</w:rPr>
        <w:t xml:space="preserve"> – стоимо</w:t>
      </w:r>
      <w:r>
        <w:rPr>
          <w:rFonts w:ascii="Times New Roman" w:hAnsi="Times New Roman" w:cs="Times New Roman"/>
          <w:sz w:val="28"/>
          <w:szCs w:val="28"/>
        </w:rPr>
        <w:t xml:space="preserve">сть одного календарного дня пребывания в организациях отдыха детей и их оздоровления сезонного действия, установленная постановлением Правительства Новосибирской области от 28.03.2017 № 123-п «Об организации отдыха, оздоровления и занятости детей на террит</w:t>
      </w:r>
      <w:r>
        <w:rPr>
          <w:rFonts w:ascii="Times New Roman" w:hAnsi="Times New Roman" w:cs="Times New Roman"/>
          <w:sz w:val="28"/>
          <w:szCs w:val="28"/>
        </w:rPr>
        <w:t xml:space="preserve">ории Новосибирской области»;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– продолжительность смены, дни;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долкд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расходов на оплату путевок для детей, находящихся в трудной жизненной ситуации, в организации отдыха детей и их оздоровления круглогодичного действия, расположенные на тер</w:t>
      </w:r>
      <w:r>
        <w:rPr>
          <w:rFonts w:ascii="Times New Roman" w:hAnsi="Times New Roman" w:cs="Times New Roman"/>
          <w:sz w:val="28"/>
          <w:szCs w:val="28"/>
        </w:rPr>
        <w:t xml:space="preserve">ритории Новосибирской области, рассчитываемая по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долкд</w:t>
      </w:r>
      <w:r>
        <w:rPr>
          <w:rFonts w:ascii="Times New Roman" w:hAnsi="Times New Roman" w:cs="Times New Roman"/>
          <w:sz w:val="28"/>
          <w:szCs w:val="28"/>
        </w:rPr>
        <w:t xml:space="preserve">=К3*Р3*21, где: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К3 – количество детей, находящихся в трудной жизненной ситуации, в возрасте от 7 до 17 лет, проживающих в </w:t>
      </w:r>
      <w:r>
        <w:rPr>
          <w:rFonts w:ascii="Times New Roman" w:hAnsi="Times New Roman" w:cs="Times New Roman"/>
          <w:sz w:val="28"/>
          <w:szCs w:val="28"/>
        </w:rPr>
        <w:t xml:space="preserve">i-ом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образовании, планируемых к направлению по путевкам </w:t>
      </w:r>
      <w:r>
        <w:rPr>
          <w:rFonts w:ascii="Times New Roman" w:hAnsi="Times New Roman" w:cs="Times New Roman"/>
          <w:sz w:val="28"/>
          <w:szCs w:val="28"/>
        </w:rPr>
        <w:t xml:space="preserve">в организацию отдыха детей и их оздоровления круглогодичного действия;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Р3 – стоимость одного календарного дня пребывания в организациях отдыха детей и их оздоровления круглогодичного действия, установленная постановлением Правительства Новосибирской област</w:t>
      </w:r>
      <w:r>
        <w:rPr>
          <w:rFonts w:ascii="Times New Roman" w:hAnsi="Times New Roman" w:cs="Times New Roman"/>
          <w:sz w:val="28"/>
          <w:szCs w:val="28"/>
        </w:rPr>
        <w:t xml:space="preserve">и от 28.03.2017 № 123-п «Об организации отдыха, оздоровления и занятости детей на территории Новосибирской области»;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– продолжительность смены, дни;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(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с)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расходов на оплату путевок для детей, находящихся в трудной жизненной ситуации, </w:t>
      </w:r>
      <w:r>
        <w:rPr>
          <w:rFonts w:ascii="Times New Roman" w:hAnsi="Times New Roman" w:cs="Times New Roman"/>
          <w:sz w:val="28"/>
          <w:szCs w:val="28"/>
        </w:rPr>
        <w:t xml:space="preserve">в организации отдыха детей и их оздоровления круглогодичного действия (санаторная смена), расположенные на территории Новосибирской области, рассчитываемая по формуле:</w:t>
      </w:r>
    </w:p>
    <w:p>
      <w:pPr>
        <w:rPr>
          <w:rFonts w:ascii="Times New Roman" w:hAnsi="Times New Roman" w:cs="Times New Roman"/>
          <w:sz w:val="28"/>
          <w:szCs w:val="28"/>
        </w:rPr>
      </w:pP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долк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(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с)</w:t>
      </w:r>
      <w:r>
        <w:rPr>
          <w:rFonts w:ascii="Times New Roman" w:hAnsi="Times New Roman" w:cs="Times New Roman"/>
          <w:sz w:val="28"/>
          <w:szCs w:val="28"/>
        </w:rPr>
        <w:t xml:space="preserve">=К4*Р4*21, где: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– количество детей, находящихся в трудной жизненной ситуаци</w:t>
      </w:r>
      <w:r>
        <w:rPr>
          <w:rFonts w:ascii="Times New Roman" w:hAnsi="Times New Roman" w:cs="Times New Roman"/>
          <w:sz w:val="28"/>
          <w:szCs w:val="28"/>
        </w:rPr>
        <w:t xml:space="preserve">и, в возрасте от 7 до 17 лет, проживающих в </w:t>
      </w:r>
      <w:r>
        <w:rPr>
          <w:rFonts w:ascii="Times New Roman" w:hAnsi="Times New Roman" w:cs="Times New Roman"/>
          <w:sz w:val="28"/>
          <w:szCs w:val="28"/>
        </w:rPr>
        <w:t xml:space="preserve">i-ом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образовании, планируемых к направлению по путевкам в организацию отдыха детей и их оздоровления круглогодичного действия (санаторная смена);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одного календарного дня пребывания в </w:t>
      </w:r>
      <w:r>
        <w:rPr>
          <w:rFonts w:ascii="Times New Roman" w:hAnsi="Times New Roman" w:cs="Times New Roman"/>
          <w:sz w:val="28"/>
          <w:szCs w:val="28"/>
        </w:rPr>
        <w:t xml:space="preserve">организациях отдыха детей и их оздоровления круглогодичного действия (санаторная смена), установленная постановлением Правительства Новосибирской области от 28.03.2017 № 123-п «Об организации отдыха, оздоровления и занятости детей на территории Новосибирск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области»;</w:t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– продолжительность смены, дни;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пл</w:t>
      </w:r>
      <w:r>
        <w:rPr>
          <w:rFonts w:ascii="Times New Roman" w:hAnsi="Times New Roman" w:cs="Times New Roman"/>
          <w:sz w:val="28"/>
          <w:szCs w:val="28"/>
        </w:rPr>
        <w:t xml:space="preserve"> – общая сумма расходов на оплату путевок для детей, находящихся в трудной жизненной ситуации, в детские лагеря палаточного типа, расположенные на территории Новосибирской области, рассчитываемая по формул</w:t>
      </w:r>
      <w:r>
        <w:rPr>
          <w:rFonts w:ascii="Times New Roman" w:hAnsi="Times New Roman" w:cs="Times New Roman"/>
          <w:sz w:val="28"/>
          <w:szCs w:val="28"/>
        </w:rPr>
        <w:t xml:space="preserve">е:</w:t>
      </w:r>
    </w:p>
    <w:p>
      <w:pPr>
        <w:spacing w:line="235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пл</w:t>
      </w:r>
      <w:r>
        <w:rPr>
          <w:rFonts w:ascii="Times New Roman" w:hAnsi="Times New Roman" w:cs="Times New Roman"/>
          <w:sz w:val="28"/>
          <w:szCs w:val="28"/>
        </w:rPr>
        <w:t xml:space="preserve">=К5*Р5*10, где: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К5 – количество детей, находящихся в трудной жизненной ситуации, в возрасте от 7 до 17 лет, проживающих в </w:t>
      </w:r>
      <w:r>
        <w:rPr>
          <w:rFonts w:ascii="Times New Roman" w:hAnsi="Times New Roman" w:cs="Times New Roman"/>
          <w:sz w:val="28"/>
          <w:szCs w:val="28"/>
        </w:rPr>
        <w:t xml:space="preserve">i-ом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 образовании, планируемых к направлению по путевкам в детские лагеря палаточного типа;</w:t>
      </w:r>
    </w:p>
    <w:p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Р5 – стоимость одного к</w:t>
      </w:r>
      <w:r>
        <w:rPr>
          <w:rFonts w:ascii="Times New Roman" w:hAnsi="Times New Roman" w:cs="Times New Roman"/>
          <w:sz w:val="28"/>
          <w:szCs w:val="28"/>
        </w:rPr>
        <w:t xml:space="preserve">алендарного дня пребывания в детском лагере палаточного типа, установленная постановлением Правительства Новосибирской области от 28.03.2017 № 123-п «Об организации отдыха, оздоровления и занятости детей на территории Новосибирской области»;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– продолжительность смены, дни;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проезд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общая сумма расходов, предусмотренная </w:t>
      </w:r>
      <w:r>
        <w:rPr>
          <w:rFonts w:ascii="Times New Roman" w:hAnsi="Times New Roman" w:cs="Times New Roman"/>
          <w:sz w:val="28"/>
          <w:szCs w:val="28"/>
        </w:rPr>
        <w:t xml:space="preserve">i-му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на мероприятия по обеспечению проезда к месту отдыха и обратно детей, проживающих в муниципальном образовании, направляемых в организации отд</w:t>
      </w:r>
      <w:r>
        <w:rPr>
          <w:rFonts w:ascii="Times New Roman" w:hAnsi="Times New Roman" w:cs="Times New Roman"/>
          <w:sz w:val="28"/>
          <w:szCs w:val="28"/>
        </w:rPr>
        <w:t xml:space="preserve">ыха детей и их оздоровления, расположенные на территории Новосибирской области, определяется по формуле: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проезд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= </w:t>
      </w: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*P6, где:</w:t>
      </w:r>
    </w:p>
    <w:p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 –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количество детей, находящихся в трудной жизненной ситуации, в возрасте от 7 до 17 лет, проживающих на территории i-го муници</w:t>
      </w:r>
      <w:r>
        <w:rPr>
          <w:rFonts w:ascii="Times New Roman" w:hAnsi="Times New Roman" w:cs="Times New Roman"/>
          <w:sz w:val="28"/>
          <w:szCs w:val="28"/>
        </w:rPr>
        <w:t xml:space="preserve">пального образования, направляемых в организации отдыха детей и их оздоровления, расположенные на территории 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</w:p>
    <w:p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P6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средняя стоимость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оплаты проезда детей до организации отдыха детей и их оздоровления, расположенных на территории Новос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ибирской области, и обратно в соответствии с официальными данными, предоставленными организациями-перевозчиками.</w:t>
      </w:r>
    </w:p>
    <w:p>
      <w:pPr>
        <w:spacing w:line="139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139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</w:p>
    <w:p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      Е.М. Москалева</w:t>
      </w:r>
    </w:p>
    <w:sectPr>
      <w:pgSz w:w="11906" w:h="16838"/>
      <w:pgMar w:top="850" w:right="567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a" w:default="1">
    <w:name w:val="Normal"/>
    <w:qFormat/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a2" w:default="1">
    <w:name w:val="No List"/>
    <w:uiPriority w:val="99"/>
    <w:semiHidden/>
    <w:unhideWhenUsed/>
  </w:style>
  <w:style w:type="character" w:styleId="Heading1Char" w:customStyle="1">
    <w:name w:val="Heading 1 Char"/>
    <w:basedOn w:val="a0"/>
    <w:link w:val="Heading1"/>
    <w:uiPriority w:val="9"/>
    <w:rPr>
      <w:rFonts w:ascii="Arial" w:hAnsi="Arial" w:eastAsia="Arial" w:cs="Arial"/>
      <w:sz w:val="40"/>
      <w:szCs w:val="40"/>
    </w:rPr>
  </w:style>
  <w:style w:type="paragraph" w:styleId="Heading2" w:customStyle="1">
    <w:name w:val="Heading 2"/>
    <w:basedOn w:val="a"/>
    <w:next w:val="a"/>
    <w:link w:val="Heading2Char"/>
    <w:uiPriority w:val="9"/>
    <w:unhideWhenUsed/>
    <w:qFormat/>
    <w:pPr>
      <w:keepNext/>
      <w:keepLines/>
      <w:spacing w:before="360"/>
      <w:outlineLvl w:val="1"/>
    </w:pPr>
    <w:rPr>
      <w:rFonts w:ascii="Arial" w:hAnsi="Arial" w:eastAsia="Arial" w:cs="Arial"/>
      <w:sz w:val="34"/>
    </w:rPr>
  </w:style>
  <w:style w:type="character" w:styleId="Heading2Char" w:customStyle="1">
    <w:name w:val="Heading 2 Char"/>
    <w:basedOn w:val="a0"/>
    <w:link w:val="Heading2"/>
    <w:uiPriority w:val="9"/>
    <w:rPr>
      <w:rFonts w:ascii="Arial" w:hAnsi="Arial" w:eastAsia="Arial" w:cs="Arial"/>
      <w:sz w:val="34"/>
    </w:rPr>
  </w:style>
  <w:style w:type="paragraph" w:styleId="Heading3" w:customStyle="1">
    <w:name w:val="Heading 3"/>
    <w:basedOn w:val="a"/>
    <w:next w:val="a"/>
    <w:link w:val="Heading3Char"/>
    <w:uiPriority w:val="9"/>
    <w:unhideWhenUsed/>
    <w:qFormat/>
    <w:pPr>
      <w:keepNext/>
      <w:keepLines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Heading3Char" w:customStyle="1">
    <w:name w:val="Heading 3 Char"/>
    <w:basedOn w:val="a0"/>
    <w:link w:val="Heading3"/>
    <w:uiPriority w:val="9"/>
    <w:rPr>
      <w:rFonts w:ascii="Arial" w:hAnsi="Arial" w:eastAsia="Arial" w:cs="Arial"/>
      <w:sz w:val="30"/>
      <w:szCs w:val="30"/>
    </w:rPr>
  </w:style>
  <w:style w:type="paragraph" w:styleId="Heading4" w:customStyle="1">
    <w:name w:val="Heading 4"/>
    <w:basedOn w:val="a"/>
    <w:next w:val="a"/>
    <w:link w:val="Heading4Char"/>
    <w:uiPriority w:val="9"/>
    <w:unhideWhenUsed/>
    <w:qFormat/>
    <w:pPr>
      <w:keepNext/>
      <w:keepLines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Heading4Char" w:customStyle="1">
    <w:name w:val="Heading 4 Char"/>
    <w:basedOn w:val="a0"/>
    <w:link w:val="Heading4"/>
    <w:uiPriority w:val="9"/>
    <w:rPr>
      <w:rFonts w:ascii="Arial" w:hAnsi="Arial" w:eastAsia="Arial" w:cs="Arial"/>
      <w:b/>
      <w:bCs/>
      <w:sz w:val="26"/>
      <w:szCs w:val="26"/>
    </w:rPr>
  </w:style>
  <w:style w:type="paragraph" w:styleId="Heading5" w:customStyle="1">
    <w:name w:val="Heading 5"/>
    <w:basedOn w:val="a"/>
    <w:next w:val="a"/>
    <w:link w:val="Heading5Char"/>
    <w:uiPriority w:val="9"/>
    <w:unhideWhenUsed/>
    <w:qFormat/>
    <w:pPr>
      <w:keepNext/>
      <w:keepLines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Heading5Char" w:customStyle="1">
    <w:name w:val="Heading 5 Char"/>
    <w:basedOn w:val="a0"/>
    <w:link w:val="Heading5"/>
    <w:uiPriority w:val="9"/>
    <w:rPr>
      <w:rFonts w:ascii="Arial" w:hAnsi="Arial" w:eastAsia="Arial" w:cs="Arial"/>
      <w:b/>
      <w:bCs/>
      <w:sz w:val="24"/>
      <w:szCs w:val="24"/>
    </w:rPr>
  </w:style>
  <w:style w:type="paragraph" w:styleId="Heading6" w:customStyle="1">
    <w:name w:val="Heading 6"/>
    <w:basedOn w:val="a"/>
    <w:next w:val="a"/>
    <w:link w:val="Heading6Char"/>
    <w:uiPriority w:val="9"/>
    <w:unhideWhenUsed/>
    <w:qFormat/>
    <w:pPr>
      <w:keepNext/>
      <w:keepLines/>
      <w:spacing w:before="320"/>
      <w:outlineLvl w:val="5"/>
    </w:pPr>
    <w:rPr>
      <w:rFonts w:ascii="Arial" w:hAnsi="Arial" w:eastAsia="Arial" w:cs="Arial"/>
      <w:b/>
      <w:bCs/>
    </w:rPr>
  </w:style>
  <w:style w:type="character" w:styleId="Heading6Char" w:customStyle="1">
    <w:name w:val="Heading 6 Char"/>
    <w:basedOn w:val="a0"/>
    <w:link w:val="Heading6"/>
    <w:uiPriority w:val="9"/>
    <w:rPr>
      <w:rFonts w:ascii="Arial" w:hAnsi="Arial" w:eastAsia="Arial" w:cs="Arial"/>
      <w:b/>
      <w:bCs/>
      <w:sz w:val="22"/>
      <w:szCs w:val="22"/>
    </w:rPr>
  </w:style>
  <w:style w:type="paragraph" w:styleId="Heading7" w:customStyle="1">
    <w:name w:val="Heading 7"/>
    <w:basedOn w:val="a"/>
    <w:next w:val="a"/>
    <w:link w:val="Heading7Char"/>
    <w:uiPriority w:val="9"/>
    <w:unhideWhenUsed/>
    <w:qFormat/>
    <w:pPr>
      <w:keepNext/>
      <w:keepLines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Heading7Char" w:customStyle="1">
    <w:name w:val="Heading 7 Char"/>
    <w:basedOn w:val="a0"/>
    <w:link w:val="Heading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 w:customStyle="1">
    <w:name w:val="Heading 8"/>
    <w:basedOn w:val="a"/>
    <w:next w:val="a"/>
    <w:link w:val="Heading8Char"/>
    <w:uiPriority w:val="9"/>
    <w:unhideWhenUsed/>
    <w:qFormat/>
    <w:pPr>
      <w:keepNext/>
      <w:keepLines/>
      <w:spacing w:before="320"/>
      <w:outlineLvl w:val="7"/>
    </w:pPr>
    <w:rPr>
      <w:rFonts w:ascii="Arial" w:hAnsi="Arial" w:eastAsia="Arial" w:cs="Arial"/>
      <w:i/>
      <w:iCs/>
    </w:rPr>
  </w:style>
  <w:style w:type="character" w:styleId="Heading8Char" w:customStyle="1">
    <w:name w:val="Heading 8 Char"/>
    <w:basedOn w:val="a0"/>
    <w:link w:val="Heading8"/>
    <w:uiPriority w:val="9"/>
    <w:rPr>
      <w:rFonts w:ascii="Arial" w:hAnsi="Arial" w:eastAsia="Arial" w:cs="Arial"/>
      <w:i/>
      <w:iCs/>
      <w:sz w:val="22"/>
      <w:szCs w:val="22"/>
    </w:rPr>
  </w:style>
  <w:style w:type="paragraph" w:styleId="Heading9" w:customStyle="1">
    <w:name w:val="Heading 9"/>
    <w:basedOn w:val="a"/>
    <w:next w:val="a"/>
    <w:link w:val="Heading9Char"/>
    <w:uiPriority w:val="9"/>
    <w:unhideWhenUsed/>
    <w:qFormat/>
    <w:pPr>
      <w:keepNext/>
      <w:keepLines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9Char" w:customStyle="1">
    <w:name w:val="Heading 9 Char"/>
    <w:basedOn w:val="a0"/>
    <w:link w:val="Heading9"/>
    <w:uiPriority w:val="9"/>
    <w:rPr>
      <w:rFonts w:ascii="Arial" w:hAnsi="Arial" w:eastAsia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styleId="a6" w:customStyle="1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styleId="a8" w:customStyle="1">
    <w:name w:val="Подзаголовок Знак"/>
    <w:basedOn w:val="a0"/>
    <w:link w:val="a7"/>
    <w:uiPriority w:val="11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pPr>
      <w:ind w:left="720" w:right="720"/>
    </w:pPr>
    <w:rPr>
      <w:i/>
    </w:rPr>
  </w:style>
  <w:style w:type="character" w:styleId="20" w:customStyle="1">
    <w:name w:val="Цитата 2 Знак"/>
    <w:link w:val="2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character" w:styleId="aa" w:customStyle="1">
    <w:name w:val="Выделенная цитата Знак"/>
    <w:link w:val="a9"/>
    <w:uiPriority w:val="30"/>
    <w:rPr>
      <w:i/>
    </w:rPr>
  </w:style>
  <w:style w:type="paragraph" w:styleId="Header" w:customStyle="1">
    <w:name w:val="Header"/>
    <w:basedOn w:val="a"/>
    <w:link w:val="Header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HeaderChar" w:customStyle="1">
    <w:name w:val="Header Char"/>
    <w:basedOn w:val="a0"/>
    <w:link w:val="Header"/>
    <w:uiPriority w:val="99"/>
  </w:style>
  <w:style w:type="paragraph" w:styleId="Footer" w:customStyle="1">
    <w:name w:val="Footer"/>
    <w:basedOn w:val="a"/>
    <w:link w:val="CaptionChar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styleId="FooterChar" w:customStyle="1">
    <w:name w:val="Footer Char"/>
    <w:basedOn w:val="a0"/>
    <w:link w:val="Footer"/>
    <w:uiPriority w:val="99"/>
  </w:style>
  <w:style w:type="paragraph" w:styleId="Caption" w:customStyle="1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CaptionChar" w:customStyle="1">
    <w:name w:val="Caption Char"/>
    <w:link w:val="Foote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TableGridLight" w:customStyle="1">
    <w:name w:val="Table Grid Light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PlainTable1" w:customStyle="1">
    <w:name w:val="Plain Table 1"/>
    <w:basedOn w:val="a1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tcPr>
        <w:shd w:val="clear" w:color="f2f2f2" w:themeColor="text1" w:themeTint="00" w:fill="f2f2f2" w:themeFill="text1" w:themeFillTint="00"/>
      </w:tcPr>
    </w:tblStylePr>
  </w:style>
  <w:style w:type="table" w:styleId="PlainTable2" w:customStyle="1">
    <w:name w:val="Plain Table 2"/>
    <w:basedOn w:val="a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PlainTable3" w:customStyle="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PlainTable4" w:customStyle="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PlainTable5" w:customStyle="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GridTable1Light" w:customStyle="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</w:style>
  <w:style w:type="table" w:styleId="GridTable1Light-Accent1" w:customStyle="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GridTable1Light-Accent2" w:customStyle="1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GridTable1Light-Accent3" w:customStyle="1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GridTable1Light-Accent4" w:customStyle="1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GridTable1Light-Accent5" w:customStyle="1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GridTable1Light-Accent6" w:customStyle="1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table" w:styleId="GridTable2" w:customStyle="1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2-Accent1" w:customStyle="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2-Accent2" w:customStyle="1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2-Accent3" w:customStyle="1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2-Accent4" w:customStyle="1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2-Accent5" w:customStyle="1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2-Accent6" w:customStyle="1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3" w:customStyle="1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3-Accent1" w:customStyle="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</w:style>
  <w:style w:type="table" w:styleId="GridTable3-Accent2" w:customStyle="1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3-Accent3" w:customStyle="1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3-Accent4" w:customStyle="1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3-Accent5" w:customStyle="1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3-Accent6" w:customStyle="1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4" w:customStyle="1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</w:style>
  <w:style w:type="table" w:styleId="GridTable4-Accent1" w:customStyle="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</w:style>
  <w:style w:type="table" w:styleId="GridTable4-Accent2" w:customStyle="1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GridTable4-Accent3" w:customStyle="1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GridTable4-Accent4" w:customStyle="1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GridTable4-Accent5" w:customStyle="1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GridTable4-Accent6" w:customStyle="1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GridTable5Dark" w:customStyle="1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band1Horz">
      <w:tcPr>
        <w:shd w:val="clear" w:color="8a8a8a" w:themeColor="text1" w:themeTint="75" w:fill="8a8a8a" w:themeFill="text1" w:themeFillTint="75"/>
      </w:tcPr>
    </w:tblStylePr>
  </w:style>
  <w:style w:type="table" w:styleId="GridTable5Dark-Accent1" w:customStyle="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band1Horz">
      <w:tcPr>
        <w:shd w:val="clear" w:color="aec4e0" w:themeColor="accent1" w:themeTint="75" w:fill="aec4e0" w:themeFill="accent1" w:themeFillTint="75"/>
      </w:tcPr>
    </w:tblStylePr>
  </w:style>
  <w:style w:type="table" w:styleId="GridTable5Dark-Accent2" w:customStyle="1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1Horz">
      <w:tcPr>
        <w:shd w:val="clear" w:color="e2aead" w:themeColor="accent2" w:themeTint="75" w:fill="e2aead" w:themeFill="accent2" w:themeFillTint="75"/>
      </w:tcPr>
    </w:tblStylePr>
  </w:style>
  <w:style w:type="table" w:styleId="GridTable5Dark-Accent3" w:customStyle="1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band1Horz">
      <w:tcPr>
        <w:shd w:val="clear" w:color="d0dfb2" w:themeColor="accent3" w:themeTint="75" w:fill="d0dfb2" w:themeFill="accent3" w:themeFillTint="75"/>
      </w:tcPr>
    </w:tblStylePr>
  </w:style>
  <w:style w:type="table" w:styleId="GridTable5Dark-Accent4" w:customStyle="1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1Horz">
      <w:tcPr>
        <w:shd w:val="clear" w:color="c4b7d4" w:themeColor="accent4" w:themeTint="75" w:fill="c4b7d4" w:themeFill="accent4" w:themeFillTint="75"/>
      </w:tcPr>
    </w:tblStylePr>
  </w:style>
  <w:style w:type="table" w:styleId="GridTable5Dark-Accent5" w:customStyle="1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1Horz">
      <w:tcPr>
        <w:shd w:val="clear" w:color="acd8e4" w:themeColor="accent5" w:themeTint="75" w:fill="acd8e4" w:themeFill="accent5" w:themeFillTint="75"/>
      </w:tcPr>
    </w:tblStylePr>
  </w:style>
  <w:style w:type="table" w:styleId="GridTable5Dark-Accent6" w:customStyle="1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1Horz">
      <w:tcPr>
        <w:shd w:val="clear" w:color="fbceaa" w:themeColor="accent6" w:themeTint="75" w:fill="fbceaa" w:themeFill="accent6" w:themeFillTint="75"/>
      </w:tcPr>
    </w:tblStylePr>
  </w:style>
  <w:style w:type="table" w:styleId="GridTable6Colorful" w:customStyle="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6Colorful-Accent1" w:customStyle="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6Colorful-Accent2" w:customStyle="1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6Colorful-Accent3" w:customStyle="1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6Colorful-Accent4" w:customStyle="1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6Colorful-Accent5" w:customStyle="1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6Colorful-Accent6" w:customStyle="1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" w:customStyle="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GridTable7Colorful-Accent1" w:customStyle="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styleId="GridTable7Colorful-Accent2" w:customStyle="1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GridTable7Colorful-Accent3" w:customStyle="1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styleId="GridTable7Colorful-Accent4" w:customStyle="1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GridTable7Colorful-Accent5" w:customStyle="1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GridTable7Colorful-Accent6" w:customStyle="1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ListTable1Light" w:customStyle="1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tcPr>
        <w:shd w:val="clear" w:color="bfbfbf" w:themeColor="text1" w:themeTint="40" w:fill="bfbfbf" w:themeFill="text1" w:themeFillTint="40"/>
      </w:tcPr>
    </w:tblStylePr>
  </w:style>
  <w:style w:type="table" w:styleId="ListTable1Light-Accent1" w:customStyle="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tcPr>
        <w:shd w:val="clear" w:color="d2dfee" w:themeColor="accent1" w:themeTint="40" w:fill="d2dfee" w:themeFill="accent1" w:themeFillTint="40"/>
      </w:tcPr>
    </w:tblStylePr>
  </w:style>
  <w:style w:type="table" w:styleId="ListTable1Light-Accent2" w:customStyle="1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tcPr>
        <w:shd w:val="clear" w:color="efd2d2" w:themeColor="accent2" w:themeTint="40" w:fill="efd2d2" w:themeFill="accent2" w:themeFillTint="40"/>
      </w:tcPr>
    </w:tblStylePr>
  </w:style>
  <w:style w:type="table" w:styleId="ListTable1Light-Accent3" w:customStyle="1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tcPr>
        <w:shd w:val="clear" w:color="e5eed5" w:themeColor="accent3" w:themeTint="40" w:fill="e5eed5" w:themeFill="accent3" w:themeFillTint="40"/>
      </w:tcPr>
    </w:tblStylePr>
  </w:style>
  <w:style w:type="table" w:styleId="ListTable1Light-Accent4" w:customStyle="1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tcPr>
        <w:shd w:val="clear" w:color="dfd8e7" w:themeColor="accent4" w:themeTint="40" w:fill="dfd8e7" w:themeFill="accent4" w:themeFillTint="40"/>
      </w:tcPr>
    </w:tblStylePr>
  </w:style>
  <w:style w:type="table" w:styleId="ListTable1Light-Accent5" w:customStyle="1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tcPr>
        <w:shd w:val="clear" w:color="d1eaf0" w:themeColor="accent5" w:themeTint="40" w:fill="d1eaf0" w:themeFill="accent5" w:themeFillTint="40"/>
      </w:tcPr>
    </w:tblStylePr>
  </w:style>
  <w:style w:type="table" w:styleId="ListTable1Light-Accent6" w:customStyle="1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tcPr>
        <w:shd w:val="clear" w:color="fde4d0" w:themeColor="accent6" w:themeTint="40" w:fill="fde4d0" w:themeFill="accent6" w:themeFillTint="40"/>
      </w:tcPr>
    </w:tblStylePr>
  </w:style>
  <w:style w:type="table" w:styleId="ListTable2" w:customStyle="1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2-Accent1" w:customStyle="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2-Accent2" w:customStyle="1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2-Accent3" w:customStyle="1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2-Accent4" w:customStyle="1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2-Accent5" w:customStyle="1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2-Accent6" w:customStyle="1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3" w:customStyle="1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</w:style>
  <w:style w:type="table" w:styleId="ListTable3-Accent1" w:customStyle="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</w:style>
  <w:style w:type="table" w:styleId="ListTable3-Accent2" w:customStyle="1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</w:style>
  <w:style w:type="table" w:styleId="ListTable3-Accent3" w:customStyle="1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</w:style>
  <w:style w:type="table" w:styleId="ListTable3-Accent4" w:customStyle="1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</w:style>
  <w:style w:type="table" w:styleId="ListTable3-Accent5" w:customStyle="1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</w:style>
  <w:style w:type="table" w:styleId="ListTable3-Accent6" w:customStyle="1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</w:style>
  <w:style w:type="table" w:styleId="ListTable4" w:customStyle="1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</w:style>
  <w:style w:type="table" w:styleId="ListTable4-Accent1" w:customStyle="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</w:style>
  <w:style w:type="table" w:styleId="ListTable4-Accent2" w:customStyle="1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</w:style>
  <w:style w:type="table" w:styleId="ListTable4-Accent3" w:customStyle="1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</w:style>
  <w:style w:type="table" w:styleId="ListTable4-Accent4" w:customStyle="1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</w:style>
  <w:style w:type="table" w:styleId="ListTable4-Accent5" w:customStyle="1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</w:style>
  <w:style w:type="table" w:styleId="ListTable4-Accent6" w:customStyle="1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</w:style>
  <w:style w:type="table" w:styleId="ListTable5Dark" w:customStyle="1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7F7F7F" w:themeColor="text1" w:themeTint="80" w:sz="32" w:space="0"/>
          <w:bottom w:val="single" w:color="FFFFFF" w:themeColor="light1" w:sz="12" w:space="0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f7f7f" w:themeColor="text1" w:themeTint="80" w:fill="7f7f7f" w:themeFill="text1" w:themeFillTint="80"/>
      </w:tcPr>
    </w:tblStylePr>
  </w:style>
  <w:style w:type="table" w:styleId="ListTable5Dark-Accent1" w:customStyle="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</w:style>
  <w:style w:type="table" w:styleId="ListTable5Dark-Accent2" w:customStyle="1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D99695" w:themeColor="accent2" w:themeTint="97" w:sz="32" w:space="0"/>
          <w:bottom w:val="single" w:color="FFFFFF" w:themeColor="light1" w:sz="12" w:space="0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695" w:themeColor="accent2" w:themeTint="97" w:fill="d99695" w:themeFill="accent2" w:themeFillTint="97"/>
      </w:tcPr>
    </w:tblStylePr>
  </w:style>
  <w:style w:type="table" w:styleId="ListTable5Dark-Accent3" w:customStyle="1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C3D69B" w:themeColor="accent3" w:themeTint="98" w:sz="32" w:space="0"/>
          <w:bottom w:val="single" w:color="FFFFFF" w:themeColor="light1" w:sz="12" w:space="0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b" w:themeColor="accent3" w:themeTint="98" w:fill="c3d69b" w:themeFill="accent3" w:themeFillTint="98"/>
      </w:tcPr>
    </w:tblStylePr>
  </w:style>
  <w:style w:type="table" w:styleId="ListTable5Dark-Accent4" w:customStyle="1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</w:style>
  <w:style w:type="table" w:styleId="ListTable5Dark-Accent5" w:customStyle="1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</w:style>
  <w:style w:type="table" w:styleId="ListTable5Dark-Accent6" w:customStyle="1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</w:style>
  <w:style w:type="table" w:styleId="ListTable6Colorful" w:customStyle="1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styleId="ListTable6Colorful-Accent1" w:customStyle="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F81BD" w:themeColor="accent1" w:sz="4" w:space="0"/>
        <w:bottom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6Colorful-Accent2" w:customStyle="1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9695" w:themeColor="accent2" w:themeTint="97" w:sz="4" w:space="0"/>
        <w:bottom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6Colorful-Accent3" w:customStyle="1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3D69B" w:themeColor="accent3" w:themeTint="98" w:sz="4" w:space="0"/>
        <w:bottom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6Colorful-Accent4" w:customStyle="1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2A1C6" w:themeColor="accent4" w:themeTint="9A" w:sz="4" w:space="0"/>
        <w:bottom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6Colorful-Accent5" w:customStyle="1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2CCDC" w:themeColor="accent5" w:themeTint="9A" w:sz="4" w:space="0"/>
        <w:bottom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6Colorful-Accent6" w:customStyle="1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AC090" w:themeColor="accent6" w:themeTint="98" w:sz="4" w:space="0"/>
        <w:bottom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stTable7Colorful" w:customStyle="1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styleId="ListTable7Colorful-Accent1" w:customStyle="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4F81BD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styleId="ListTable7Colorful-Accent2" w:customStyle="1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D99695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styleId="ListTable7Colorful-Accent3" w:customStyle="1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3D69B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styleId="ListTable7Colorful-Accent4" w:customStyle="1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B2A1C6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styleId="ListTable7Colorful-Accent5" w:customStyle="1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92CCDC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styleId="ListTable7Colorful-Accent6" w:customStyle="1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AC090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  <w:shd w:val="clear" w:color="ffffff" w:fill="auto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Lined-Accent" w:customStyle="1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Lined-Accent1" w:customStyle="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Lined-Accent2" w:customStyle="1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Lined-Accent3" w:customStyle="1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Lined-Accent4" w:customStyle="1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Lined-Accent5" w:customStyle="1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Lined-Accent6" w:customStyle="1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Lined-Accent" w:customStyle="1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</w:style>
  <w:style w:type="table" w:styleId="BorderedLined-Accent1" w:customStyle="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</w:style>
  <w:style w:type="table" w:styleId="BorderedLined-Accent2" w:customStyle="1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</w:style>
  <w:style w:type="table" w:styleId="BorderedLined-Accent3" w:customStyle="1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</w:style>
  <w:style w:type="table" w:styleId="BorderedLined-Accent4" w:customStyle="1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</w:style>
  <w:style w:type="table" w:styleId="BorderedLined-Accent5" w:customStyle="1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</w:style>
  <w:style w:type="table" w:styleId="BorderedLined-Accent6" w:customStyle="1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</w:style>
  <w:style w:type="table" w:styleId="Bordered" w:customStyle="1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</w:style>
  <w:style w:type="table" w:styleId="Bordered-Accent1" w:customStyle="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</w:style>
  <w:style w:type="table" w:styleId="Bordered-Accent2" w:customStyle="1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</w:style>
  <w:style w:type="table" w:styleId="Bordered-Accent3" w:customStyle="1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</w:style>
  <w:style w:type="table" w:styleId="Bordered-Accent4" w:customStyle="1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</w:style>
  <w:style w:type="table" w:styleId="Bordered-Accent5" w:customStyle="1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</w:style>
  <w:style w:type="table" w:styleId="Bordered-Accent6" w:customStyle="1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styleId="ae" w:customStyle="1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styleId="af1" w:customStyle="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">
    <w:name w:val="toc 1"/>
    <w:basedOn w:val="a"/>
    <w:next w:val="a"/>
    <w:uiPriority w:val="39"/>
    <w:unhideWhenUsed/>
    <w:pPr>
      <w:spacing w:after="5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paragraph" w:styleId="Heading1" w:customStyle="1">
    <w:name w:val="Heading 1"/>
    <w:basedOn w:val="a"/>
    <w:next w:val="a"/>
    <w:link w:val="10"/>
    <w:uiPriority w:val="9"/>
    <w:qFormat/>
    <w:pPr>
      <w:keepNext/>
      <w:keepLines/>
      <w:spacing w:before="240" w:after="0" w:line="240" w:lineRule="auto"/>
      <w:outlineLvl w:val="0"/>
    </w:pPr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  <w:style w:type="paragraph" w:styleId="ConsPlusNormal" w:customStyle="1">
    <w:name w:val="ConsPlusNormal"/>
    <w:pPr>
      <w:spacing w:after="0" w:line="240" w:lineRule="auto"/>
    </w:pPr>
    <w:rPr>
      <w:rFonts w:ascii="Arial" w:hAnsi="Arial" w:cs="Arial"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f6" w:customStyle="1">
    <w:name w:val="Текст выноски Знак"/>
    <w:basedOn w:val="a0"/>
    <w:link w:val="af5"/>
    <w:uiPriority w:val="99"/>
    <w:semiHidden/>
    <w:rPr>
      <w:rFonts w:ascii="Tahoma" w:hAnsi="Tahoma" w:cs="Tahoma"/>
      <w:sz w:val="16"/>
      <w:szCs w:val="16"/>
    </w:rPr>
  </w:style>
  <w:style w:type="character" w:styleId="10" w:customStyle="1">
    <w:name w:val="Заголовок 1 Знак"/>
    <w:basedOn w:val="a0"/>
    <w:link w:val="Heading1"/>
    <w:uiPriority w:val="9"/>
    <w:rPr>
      <w:rFonts w:asciiTheme="majorHAnsi" w:hAnsiTheme="majorHAnsi" w:eastAsiaTheme="majorEastAsia" w:cstheme="majorBidi"/>
      <w:color w:val="365f91" w:themeColor="accent1" w:themeShade="BF"/>
      <w:sz w:val="32"/>
      <w:szCs w:val="32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haracters>6896</Characters>
  <CharactersWithSpaces>8089</CharactersWithSpaces>
  <Company>MFNSO</Company>
  <DocSecurity>0</DocSecurity>
  <HyperlinksChanged>false</HyperlinksChanged>
  <Lines>57</Lines>
  <LinksUpToDate>false</LinksUpToDate>
  <Pages>4</Pages>
  <Paragraphs>16</Paragraphs>
  <ScaleCrop>false</ScaleCrop>
  <SharedDoc>false</SharedDoc>
  <Template>Normal</Template>
  <TotalTime>0</TotalTime>
  <Words>1209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Шарпф Светлана Леонидовна</dc:creator>
  <cp:lastModifiedBy>user2023</cp:lastModifiedBy>
  <cp:revision>61</cp:revision>
  <dcterms:created xsi:type="dcterms:W3CDTF">2020-08-13T04:54:00Z</dcterms:created>
  <dcterms:modified xsi:type="dcterms:W3CDTF">2025-10-19T05:47:00Z</dcterms:modified>
</cp:coreProperties>
</file>